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3EE" w:rsidRDefault="00F838FC">
      <w:pPr>
        <w:spacing w:line="600" w:lineRule="exact"/>
        <w:jc w:val="center"/>
        <w:rPr>
          <w:rFonts w:asciiTheme="majorEastAsia" w:eastAsiaTheme="majorEastAsia" w:hAnsiTheme="majorEastAsia" w:cstheme="majorEastAsia"/>
          <w:b/>
          <w:bCs/>
          <w:w w:val="85"/>
          <w:kern w:val="0"/>
          <w:sz w:val="44"/>
          <w:szCs w:val="44"/>
        </w:rPr>
      </w:pPr>
      <w:r>
        <w:rPr>
          <w:rFonts w:asciiTheme="majorEastAsia" w:eastAsiaTheme="majorEastAsia" w:hAnsiTheme="majorEastAsia" w:cstheme="majorEastAsia" w:hint="eastAsia"/>
          <w:b/>
          <w:bCs/>
          <w:w w:val="85"/>
          <w:kern w:val="0"/>
          <w:sz w:val="44"/>
          <w:szCs w:val="44"/>
        </w:rPr>
        <w:t> 2022年度新晃县住建局财政支出项目         （农村生活垃圾收转运体系配套建设及运营经费）绩效自评报告</w:t>
      </w:r>
    </w:p>
    <w:p w:rsidR="00D953EE" w:rsidRDefault="00F838FC">
      <w:pPr>
        <w:numPr>
          <w:ilvl w:val="0"/>
          <w:numId w:val="1"/>
        </w:numPr>
        <w:spacing w:line="560" w:lineRule="exact"/>
        <w:ind w:firstLineChars="200" w:firstLine="643"/>
        <w:jc w:val="left"/>
        <w:rPr>
          <w:rFonts w:eastAsia="仿宋_GB2312"/>
          <w:b/>
          <w:bCs/>
          <w:sz w:val="32"/>
          <w:szCs w:val="32"/>
        </w:rPr>
      </w:pPr>
      <w:r>
        <w:rPr>
          <w:rFonts w:eastAsia="仿宋_GB2312" w:hint="eastAsia"/>
          <w:b/>
          <w:bCs/>
          <w:sz w:val="32"/>
          <w:szCs w:val="32"/>
        </w:rPr>
        <w:t>基本情况</w:t>
      </w:r>
    </w:p>
    <w:p w:rsidR="00D953EE" w:rsidRDefault="00F838FC" w:rsidP="00FE6F1D">
      <w:pPr>
        <w:spacing w:line="560" w:lineRule="exact"/>
        <w:ind w:leftChars="200" w:left="420"/>
        <w:jc w:val="left"/>
        <w:rPr>
          <w:rFonts w:eastAsia="仿宋_GB2312"/>
          <w:b/>
          <w:bCs/>
          <w:sz w:val="32"/>
          <w:szCs w:val="32"/>
        </w:rPr>
      </w:pPr>
      <w:r>
        <w:rPr>
          <w:rFonts w:eastAsia="仿宋_GB2312" w:hint="eastAsia"/>
          <w:sz w:val="32"/>
          <w:szCs w:val="32"/>
        </w:rPr>
        <w:t>（一）项目概况。</w:t>
      </w:r>
    </w:p>
    <w:p w:rsidR="00D953EE" w:rsidRDefault="00F838FC">
      <w:pPr>
        <w:spacing w:line="600" w:lineRule="exact"/>
        <w:ind w:firstLineChars="200" w:firstLine="640"/>
        <w:rPr>
          <w:rFonts w:ascii="仿宋_GB2312" w:eastAsia="仿宋_GB2312"/>
          <w:sz w:val="32"/>
          <w:szCs w:val="32"/>
        </w:rPr>
      </w:pPr>
      <w:r>
        <w:rPr>
          <w:rFonts w:ascii="仿宋_GB2312" w:eastAsia="仿宋_GB2312" w:hAnsi="仿宋_GB2312" w:cs="仿宋_GB2312" w:hint="eastAsia"/>
          <w:sz w:val="32"/>
          <w:szCs w:val="32"/>
        </w:rPr>
        <w:t>扶罗镇（含贡溪镇）、凉伞镇、林冲镇、中寨镇（含米贝乡）4座生活垃圾压缩中转站有序运行。禾滩镇中转站、鱼市镇中转站生活垃圾及时收集转运，全部运至县无害化处理场进行无害化处理。步头降乡中转站已建成运营；扶罗镇村级垃圾集中收运点建成投入使用，240L垃圾桶全部摆放到位。农村生活垃圾收转运体系配套建设及特许经营权招标工作完成，新建中转站1座，村级集中收集点1370处，垃圾分类宣传亭137座，配置生活垃圾收转运车辆19辆，垃圾桶5500只，与原有的6座中转站共同构筑农村生活垃圾收转运体系，覆盖全县农村137个行政村、5个居委会。</w:t>
      </w:r>
    </w:p>
    <w:p w:rsidR="00D953EE" w:rsidRDefault="00F838FC">
      <w:pPr>
        <w:numPr>
          <w:ilvl w:val="0"/>
          <w:numId w:val="2"/>
        </w:numPr>
        <w:spacing w:line="560" w:lineRule="exact"/>
        <w:ind w:firstLineChars="200" w:firstLine="640"/>
        <w:jc w:val="left"/>
        <w:rPr>
          <w:rFonts w:eastAsia="仿宋_GB2312"/>
          <w:sz w:val="32"/>
          <w:szCs w:val="32"/>
        </w:rPr>
      </w:pPr>
      <w:r>
        <w:rPr>
          <w:rFonts w:eastAsia="仿宋_GB2312" w:hint="eastAsia"/>
          <w:sz w:val="32"/>
          <w:szCs w:val="32"/>
        </w:rPr>
        <w:t>项目绩效目标。</w:t>
      </w:r>
    </w:p>
    <w:p w:rsidR="00D953EE" w:rsidRDefault="00F838FC">
      <w:pPr>
        <w:pStyle w:val="a3"/>
        <w:widowControl w:val="0"/>
        <w:numPr>
          <w:ilvl w:val="0"/>
          <w:numId w:val="3"/>
        </w:numPr>
        <w:spacing w:before="0" w:beforeAutospacing="0" w:after="0" w:afterAutospacing="0" w:line="500" w:lineRule="exact"/>
        <w:ind w:firstLineChars="200" w:firstLine="640"/>
        <w:rPr>
          <w:rFonts w:ascii="仿宋_GB2312" w:eastAsia="仿宋_GB2312" w:hAnsi="仿宋_GB2312" w:cs="仿宋_GB2312"/>
          <w:b/>
          <w:sz w:val="32"/>
          <w:szCs w:val="32"/>
        </w:rPr>
      </w:pPr>
      <w:r>
        <w:rPr>
          <w:rFonts w:ascii="仿宋_GB2312" w:eastAsia="仿宋_GB2312" w:hint="eastAsia"/>
          <w:color w:val="000000"/>
          <w:sz w:val="32"/>
          <w:szCs w:val="32"/>
        </w:rPr>
        <w:t xml:space="preserve">项目绩效总目标: </w:t>
      </w:r>
      <w:r>
        <w:rPr>
          <w:rFonts w:ascii="仿宋_GB2312" w:eastAsia="仿宋_GB2312" w:hAnsi="仿宋_GB2312" w:cs="仿宋_GB2312" w:hint="eastAsia"/>
          <w:sz w:val="32"/>
          <w:szCs w:val="32"/>
        </w:rPr>
        <w:t>村级集中收集点1370处，垃圾分类宣传亭137座，配置生活垃圾收转运车辆19辆，垃圾桶5500只</w:t>
      </w:r>
      <w:r w:rsidR="00C17D9C">
        <w:rPr>
          <w:rFonts w:ascii="仿宋_GB2312" w:eastAsia="仿宋_GB2312" w:hAnsi="仿宋_GB2312" w:cs="仿宋_GB2312" w:hint="eastAsia"/>
          <w:sz w:val="32"/>
          <w:szCs w:val="32"/>
        </w:rPr>
        <w:t>。</w:t>
      </w:r>
    </w:p>
    <w:p w:rsidR="00D953EE" w:rsidRDefault="00F838FC">
      <w:pPr>
        <w:pStyle w:val="a3"/>
        <w:widowControl w:val="0"/>
        <w:numPr>
          <w:ilvl w:val="0"/>
          <w:numId w:val="3"/>
        </w:numPr>
        <w:spacing w:before="0" w:beforeAutospacing="0" w:after="0" w:afterAutospacing="0" w:line="500" w:lineRule="exact"/>
        <w:ind w:firstLineChars="200" w:firstLine="640"/>
        <w:rPr>
          <w:rFonts w:ascii="仿宋_GB2312" w:eastAsia="仿宋_GB2312" w:hAnsi="仿宋_GB2312" w:cs="仿宋_GB2312"/>
          <w:b/>
          <w:sz w:val="32"/>
          <w:szCs w:val="32"/>
        </w:rPr>
      </w:pPr>
      <w:r>
        <w:rPr>
          <w:rFonts w:ascii="仿宋_GB2312" w:eastAsia="仿宋_GB2312" w:hint="eastAsia"/>
          <w:color w:val="000000"/>
          <w:sz w:val="32"/>
          <w:szCs w:val="32"/>
        </w:rPr>
        <w:t>项目绩效阶段性目标:</w:t>
      </w:r>
      <w:r>
        <w:rPr>
          <w:rFonts w:ascii="仿宋_GB2312" w:eastAsia="仿宋_GB2312" w:hAnsi="仿宋_GB2312" w:cs="仿宋_GB2312"/>
          <w:sz w:val="32"/>
          <w:szCs w:val="32"/>
        </w:rPr>
        <w:t>持续抓好脱贫攻坚过渡期内巩固提升工作，推动减贫战略和工作体系平稳转型。</w:t>
      </w:r>
    </w:p>
    <w:p w:rsidR="00D953EE" w:rsidRDefault="00F838FC">
      <w:pPr>
        <w:pStyle w:val="a3"/>
        <w:widowControl w:val="0"/>
        <w:spacing w:before="0" w:beforeAutospacing="0" w:after="0" w:afterAutospacing="0" w:line="500" w:lineRule="exact"/>
        <w:ind w:firstLine="480"/>
        <w:rPr>
          <w:rFonts w:eastAsia="仿宋_GB2312"/>
          <w:b/>
          <w:bCs/>
          <w:sz w:val="32"/>
          <w:szCs w:val="32"/>
        </w:rPr>
      </w:pPr>
      <w:r>
        <w:rPr>
          <w:rFonts w:eastAsia="仿宋_GB2312" w:hint="eastAsia"/>
          <w:b/>
          <w:bCs/>
          <w:sz w:val="32"/>
          <w:szCs w:val="32"/>
        </w:rPr>
        <w:t>二、绩效评价工作开展情况</w:t>
      </w:r>
    </w:p>
    <w:p w:rsidR="00D953EE" w:rsidRDefault="00F838FC">
      <w:pPr>
        <w:spacing w:line="600" w:lineRule="exact"/>
        <w:ind w:firstLineChars="200" w:firstLine="640"/>
        <w:rPr>
          <w:rFonts w:ascii="仿宋_GB2312" w:eastAsia="仿宋_GB2312"/>
          <w:color w:val="000000"/>
          <w:kern w:val="0"/>
          <w:sz w:val="32"/>
          <w:szCs w:val="32"/>
        </w:rPr>
      </w:pPr>
      <w:r>
        <w:rPr>
          <w:rFonts w:ascii="仿宋_GB2312" w:eastAsia="仿宋_GB2312" w:hint="eastAsia"/>
          <w:color w:val="000000"/>
          <w:kern w:val="0"/>
          <w:sz w:val="32"/>
          <w:szCs w:val="32"/>
        </w:rPr>
        <w:t>通过2022年度农村生活垃圾收转运体系配套建设及运营项目绩效的绩效评价,了解2022年度</w:t>
      </w:r>
      <w:bookmarkStart w:id="0" w:name="_GoBack"/>
      <w:r>
        <w:rPr>
          <w:rFonts w:ascii="仿宋_GB2312" w:eastAsia="仿宋_GB2312" w:hint="eastAsia"/>
          <w:color w:val="000000"/>
          <w:kern w:val="0"/>
          <w:sz w:val="32"/>
          <w:szCs w:val="32"/>
        </w:rPr>
        <w:t>农村生活垃圾收转运</w:t>
      </w:r>
      <w:r>
        <w:rPr>
          <w:rFonts w:ascii="仿宋_GB2312" w:eastAsia="仿宋_GB2312" w:hint="eastAsia"/>
          <w:color w:val="000000"/>
          <w:kern w:val="0"/>
          <w:sz w:val="32"/>
          <w:szCs w:val="32"/>
        </w:rPr>
        <w:lastRenderedPageBreak/>
        <w:t>体系配套建设及运营项目经费的来源、使用和管理情况，项</w:t>
      </w:r>
      <w:bookmarkEnd w:id="0"/>
      <w:r>
        <w:rPr>
          <w:rFonts w:ascii="仿宋_GB2312" w:eastAsia="仿宋_GB2312" w:hint="eastAsia"/>
          <w:color w:val="000000"/>
          <w:kern w:val="0"/>
          <w:sz w:val="32"/>
          <w:szCs w:val="32"/>
        </w:rPr>
        <w:t>目的组织实施及事后的监督情况;评价农村生活垃圾收转运体系配套建设及运营项目经费使用是否达到预期目标,总结经验,分析问题,强化农村生活垃圾收转运体系配套建设及运营项目经费的管理,为以后农村生活垃圾收转运体系配套建设及运营项目经费管理和预算安排提供参考依据。同时，及时总结经验，分析存在的问题，采取切实措施进一步改进和增强财政支出项目管理，切实提高资金使用效益。</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(二)绩效评价原则、评价指标体系（附表说明）、评价方法、评价标准等。</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1、绩效评价原则</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遵循科学、规范、公正、公开和绩效相关性原则。</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2、评价指标体系（附表说明）</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2022年度新晃县项目绩效自评计分标准</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3、评价方法</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4、评价标准</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本次评价采用百分制，各级指标依据其指标权重确定分值，评价人员根据评价情况对各级指标进行打分，最终得分</w:t>
      </w:r>
      <w:r>
        <w:rPr>
          <w:rFonts w:ascii="仿宋_GB2312" w:eastAsia="仿宋_GB2312" w:hint="eastAsia"/>
          <w:color w:val="000000"/>
          <w:sz w:val="32"/>
          <w:szCs w:val="32"/>
        </w:rPr>
        <w:lastRenderedPageBreak/>
        <w:t>由各级评价指标得分加总得出。根据最终得分情况将评价标准分 为四个等级：优秀（90分≤得分≤100分）； 良好（80分≤得分＜90分）；较差（ 60分≤得分＜80分）；差</w:t>
      </w:r>
      <w:r>
        <w:rPr>
          <w:rFonts w:ascii="仿宋_GB2312" w:eastAsia="仿宋_GB2312" w:hint="eastAsia"/>
          <w:color w:val="000000"/>
          <w:sz w:val="32"/>
          <w:szCs w:val="32"/>
        </w:rPr>
        <w:t> </w:t>
      </w:r>
      <w:r>
        <w:rPr>
          <w:rFonts w:ascii="仿宋_GB2312" w:eastAsia="仿宋_GB2312" w:hint="eastAsia"/>
          <w:color w:val="000000"/>
          <w:sz w:val="32"/>
          <w:szCs w:val="32"/>
        </w:rPr>
        <w:t>（得分＜60分）。</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（三）绩效评价过程</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根据晃财绩[2023]24号《关于开展2022年度部门预算支出绩效自评工作的通知》，本次绩效评价重点评价</w:t>
      </w:r>
      <w:r>
        <w:rPr>
          <w:rFonts w:ascii="仿宋_GB2312" w:eastAsia="仿宋_GB2312" w:hint="eastAsia"/>
          <w:color w:val="000000"/>
          <w:kern w:val="0"/>
          <w:sz w:val="32"/>
          <w:szCs w:val="32"/>
        </w:rPr>
        <w:t>农村生活垃圾收转运体系配套建设及运营</w:t>
      </w:r>
      <w:r>
        <w:rPr>
          <w:rFonts w:ascii="仿宋_GB2312" w:eastAsia="仿宋_GB2312" w:hint="eastAsia"/>
          <w:color w:val="000000"/>
          <w:sz w:val="32"/>
          <w:szCs w:val="32"/>
        </w:rPr>
        <w:t>项目资金的绩效情况，填报绩效项目自评申报表，在对所有取得的资料进行分析整理的基础上按照规定格式编写绩效评价工作报告，然后按照绩效评价资料清单上报县财政局。</w:t>
      </w:r>
    </w:p>
    <w:p w:rsidR="00D953EE" w:rsidRDefault="00F838FC">
      <w:pPr>
        <w:pStyle w:val="a3"/>
        <w:widowControl w:val="0"/>
        <w:spacing w:before="0" w:beforeAutospacing="0" w:after="0" w:afterAutospacing="0" w:line="500" w:lineRule="exact"/>
        <w:ind w:firstLine="480"/>
        <w:rPr>
          <w:rFonts w:eastAsia="仿宋_GB2312"/>
          <w:b/>
          <w:bCs/>
          <w:sz w:val="32"/>
          <w:szCs w:val="32"/>
        </w:rPr>
      </w:pPr>
      <w:r>
        <w:rPr>
          <w:rFonts w:eastAsia="仿宋_GB2312" w:hint="eastAsia"/>
          <w:b/>
          <w:bCs/>
          <w:sz w:val="32"/>
          <w:szCs w:val="32"/>
        </w:rPr>
        <w:t>三、综合评价情况及评价结论（附相关评分表）</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（一）项目绩效情况</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1.完成了预期绩效目标任务</w:t>
      </w:r>
    </w:p>
    <w:p w:rsidR="00D953EE" w:rsidRDefault="00F838FC">
      <w:pPr>
        <w:spacing w:line="560" w:lineRule="exact"/>
        <w:ind w:firstLineChars="200" w:firstLine="640"/>
        <w:rPr>
          <w:rFonts w:eastAsia="仿宋_GB2312"/>
          <w:sz w:val="32"/>
          <w:szCs w:val="32"/>
        </w:rPr>
      </w:pPr>
      <w:r>
        <w:rPr>
          <w:rFonts w:eastAsia="仿宋_GB2312"/>
          <w:sz w:val="32"/>
          <w:szCs w:val="32"/>
        </w:rPr>
        <w:t>乡镇垃圾收转运体系运转正常，农村生活垃圾收转运处理达</w:t>
      </w:r>
      <w:r>
        <w:rPr>
          <w:rFonts w:eastAsia="仿宋_GB2312"/>
          <w:sz w:val="32"/>
          <w:szCs w:val="32"/>
        </w:rPr>
        <w:t>100%</w:t>
      </w:r>
      <w:r>
        <w:rPr>
          <w:rFonts w:eastAsia="仿宋_GB2312"/>
          <w:sz w:val="32"/>
          <w:szCs w:val="32"/>
        </w:rPr>
        <w:t>。建筑扬尘污染防治（</w:t>
      </w:r>
      <w:r>
        <w:rPr>
          <w:rFonts w:eastAsia="仿宋_GB2312"/>
          <w:sz w:val="32"/>
          <w:szCs w:val="32"/>
        </w:rPr>
        <w:t>6</w:t>
      </w:r>
      <w:r>
        <w:rPr>
          <w:rFonts w:eastAsia="仿宋_GB2312"/>
          <w:sz w:val="32"/>
          <w:szCs w:val="32"/>
        </w:rPr>
        <w:t>个</w:t>
      </w:r>
      <w:r>
        <w:rPr>
          <w:rFonts w:eastAsia="仿宋_GB2312"/>
          <w:sz w:val="32"/>
          <w:szCs w:val="32"/>
        </w:rPr>
        <w:t>100%+2</w:t>
      </w:r>
      <w:r>
        <w:rPr>
          <w:rFonts w:eastAsia="仿宋_GB2312"/>
          <w:sz w:val="32"/>
          <w:szCs w:val="32"/>
        </w:rPr>
        <w:t>）常态化监管。</w:t>
      </w:r>
    </w:p>
    <w:p w:rsidR="00D953EE" w:rsidRDefault="00F838FC" w:rsidP="00FE6F1D">
      <w:pPr>
        <w:spacing w:line="600" w:lineRule="exact"/>
        <w:ind w:leftChars="200" w:left="420"/>
        <w:rPr>
          <w:rFonts w:ascii="仿宋_GB2312" w:eastAsia="仿宋_GB2312"/>
          <w:color w:val="000000"/>
          <w:sz w:val="32"/>
          <w:szCs w:val="32"/>
        </w:rPr>
      </w:pPr>
      <w:r>
        <w:rPr>
          <w:rFonts w:ascii="仿宋_GB2312" w:eastAsia="仿宋_GB2312" w:hAnsi="仿宋_GB2312" w:cs="仿宋_GB2312" w:hint="eastAsia"/>
          <w:sz w:val="32"/>
          <w:szCs w:val="32"/>
        </w:rPr>
        <w:t>2、</w:t>
      </w:r>
      <w:r>
        <w:rPr>
          <w:rFonts w:ascii="仿宋_GB2312" w:eastAsia="仿宋_GB2312" w:hint="eastAsia"/>
          <w:color w:val="000000"/>
          <w:sz w:val="32"/>
          <w:szCs w:val="32"/>
        </w:rPr>
        <w:t>项目的可持续性分析</w:t>
      </w:r>
    </w:p>
    <w:p w:rsidR="00D953EE" w:rsidRDefault="00F838FC">
      <w:pPr>
        <w:pStyle w:val="a3"/>
        <w:widowControl w:val="0"/>
        <w:spacing w:before="0" w:beforeAutospacing="0" w:after="0" w:afterAutospacing="0" w:line="500" w:lineRule="exact"/>
        <w:ind w:firstLine="480"/>
        <w:rPr>
          <w:rFonts w:ascii="Times New Roman" w:eastAsia="仿宋_GB2312" w:hAnsi="Times New Roman" w:cs="Times New Roman"/>
          <w:bCs/>
          <w:sz w:val="32"/>
          <w:szCs w:val="32"/>
        </w:rPr>
      </w:pPr>
      <w:r>
        <w:rPr>
          <w:rFonts w:ascii="Times New Roman" w:eastAsia="仿宋_GB2312" w:hAnsi="Times New Roman" w:cs="Times New Roman"/>
          <w:bCs/>
          <w:sz w:val="32"/>
          <w:szCs w:val="32"/>
        </w:rPr>
        <w:t>农村生活垃圾治理采用</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户分类</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村收集</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镇转运</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县填埋</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的路径完成收转运，保证集镇、主干道一天一清运，村三天一清运，偏远乡镇保证垃圾桶不满溢，同时对偏远未到达收转运条件的也与乡镇达成共识，垃圾溢满及时联系，第一时间清运。垃圾清运及时有效，科学规范管理。</w:t>
      </w:r>
    </w:p>
    <w:p w:rsidR="00D953EE" w:rsidRDefault="00F838FC" w:rsidP="00FE6F1D">
      <w:pPr>
        <w:spacing w:line="600" w:lineRule="exact"/>
        <w:ind w:leftChars="200" w:left="420"/>
        <w:rPr>
          <w:rFonts w:ascii="仿宋_GB2312" w:eastAsia="仿宋_GB2312"/>
          <w:color w:val="000000"/>
          <w:sz w:val="32"/>
          <w:szCs w:val="32"/>
        </w:rPr>
      </w:pPr>
      <w:r>
        <w:rPr>
          <w:rFonts w:ascii="仿宋_GB2312" w:eastAsia="仿宋_GB2312" w:hint="eastAsia"/>
          <w:color w:val="000000"/>
          <w:sz w:val="32"/>
          <w:szCs w:val="32"/>
        </w:rPr>
        <w:t>（二）评价结论（附相关评分表）</w:t>
      </w:r>
    </w:p>
    <w:p w:rsidR="00D953EE" w:rsidRDefault="00F838FC" w:rsidP="00FE6F1D">
      <w:pPr>
        <w:spacing w:line="600" w:lineRule="exact"/>
        <w:ind w:leftChars="200" w:left="420" w:firstLineChars="200" w:firstLine="640"/>
        <w:rPr>
          <w:rFonts w:ascii="仿宋_GB2312" w:eastAsia="仿宋_GB2312"/>
          <w:color w:val="000000"/>
          <w:sz w:val="32"/>
          <w:szCs w:val="32"/>
        </w:rPr>
      </w:pPr>
      <w:r>
        <w:rPr>
          <w:rFonts w:ascii="仿宋_GB2312" w:eastAsia="仿宋_GB2312" w:hint="eastAsia"/>
          <w:color w:val="000000"/>
          <w:sz w:val="32"/>
          <w:szCs w:val="32"/>
        </w:rPr>
        <w:t>根据对2022年</w:t>
      </w:r>
      <w:r>
        <w:rPr>
          <w:rFonts w:ascii="仿宋_GB2312" w:eastAsia="仿宋_GB2312" w:hint="eastAsia"/>
          <w:color w:val="000000"/>
          <w:kern w:val="0"/>
          <w:sz w:val="32"/>
          <w:szCs w:val="32"/>
        </w:rPr>
        <w:t>农村生活垃圾收转运体系配套建设及</w:t>
      </w:r>
      <w:r>
        <w:rPr>
          <w:rFonts w:ascii="仿宋_GB2312" w:eastAsia="仿宋_GB2312" w:hint="eastAsia"/>
          <w:color w:val="000000"/>
          <w:kern w:val="0"/>
          <w:sz w:val="32"/>
          <w:szCs w:val="32"/>
        </w:rPr>
        <w:lastRenderedPageBreak/>
        <w:t>运营</w:t>
      </w:r>
      <w:r>
        <w:rPr>
          <w:rFonts w:ascii="仿宋_GB2312" w:eastAsia="仿宋_GB2312" w:hint="eastAsia"/>
          <w:color w:val="000000"/>
          <w:sz w:val="32"/>
          <w:szCs w:val="32"/>
        </w:rPr>
        <w:t>项目支出绩效评价指标体系和绩效情况的检查，2022年</w:t>
      </w:r>
      <w:r>
        <w:rPr>
          <w:rFonts w:ascii="仿宋_GB2312" w:eastAsia="仿宋_GB2312" w:hint="eastAsia"/>
          <w:color w:val="000000"/>
          <w:kern w:val="0"/>
          <w:sz w:val="32"/>
          <w:szCs w:val="32"/>
        </w:rPr>
        <w:t>农村生活垃圾收转运体系配套建设及运营</w:t>
      </w:r>
      <w:r>
        <w:rPr>
          <w:rFonts w:ascii="仿宋_GB2312" w:eastAsia="仿宋_GB2312" w:hint="eastAsia"/>
          <w:color w:val="000000"/>
          <w:sz w:val="32"/>
          <w:szCs w:val="32"/>
        </w:rPr>
        <w:t>项目支出绩效自评分98分，为“优秀”等级（附件2-1）。</w:t>
      </w:r>
    </w:p>
    <w:p w:rsidR="00D953EE" w:rsidRDefault="00F838FC">
      <w:pPr>
        <w:spacing w:line="600" w:lineRule="exact"/>
        <w:ind w:firstLineChars="200" w:firstLine="640"/>
        <w:rPr>
          <w:rFonts w:ascii="仿宋_GB2312" w:eastAsia="仿宋_GB2312"/>
          <w:b/>
          <w:bCs/>
          <w:color w:val="000000"/>
          <w:sz w:val="32"/>
          <w:szCs w:val="32"/>
        </w:rPr>
      </w:pPr>
      <w:r>
        <w:rPr>
          <w:rFonts w:eastAsia="仿宋_GB2312" w:hint="eastAsia"/>
          <w:bCs/>
          <w:sz w:val="32"/>
          <w:szCs w:val="32"/>
        </w:rPr>
        <w:t xml:space="preserve"> </w:t>
      </w:r>
      <w:r>
        <w:rPr>
          <w:rFonts w:ascii="仿宋_GB2312" w:eastAsia="仿宋_GB2312" w:hint="eastAsia"/>
          <w:b/>
          <w:bCs/>
          <w:color w:val="000000"/>
          <w:sz w:val="32"/>
          <w:szCs w:val="32"/>
        </w:rPr>
        <w:t>四、绩效评价指标分析</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（一）项目决策情况。</w:t>
      </w: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本项目符合社会发展规划和部门年度工作计划，根据实际需要和工作特点制定近期实施计划，为项目的实施提供了较好的方向性指导。</w:t>
      </w:r>
    </w:p>
    <w:p w:rsidR="00D953EE" w:rsidRDefault="00F838FC" w:rsidP="00FE6F1D">
      <w:pPr>
        <w:pStyle w:val="1"/>
        <w:ind w:leftChars="200" w:left="420"/>
        <w:rPr>
          <w:b w:val="0"/>
          <w:bCs/>
        </w:rPr>
      </w:pPr>
      <w:r>
        <w:rPr>
          <w:rFonts w:ascii="仿宋_GB2312" w:eastAsia="仿宋_GB2312" w:hint="eastAsia"/>
          <w:b w:val="0"/>
          <w:bCs/>
          <w:color w:val="000000"/>
          <w:sz w:val="32"/>
          <w:szCs w:val="32"/>
        </w:rPr>
        <w:t>（二）项目过程情况。</w:t>
      </w:r>
    </w:p>
    <w:p w:rsidR="00D953EE" w:rsidRDefault="00F838FC">
      <w:pPr>
        <w:spacing w:line="600" w:lineRule="exact"/>
        <w:ind w:firstLineChars="200" w:firstLine="640"/>
        <w:rPr>
          <w:rFonts w:ascii="仿宋_GB2312" w:eastAsia="仿宋_GB2312"/>
          <w:sz w:val="32"/>
          <w:szCs w:val="32"/>
        </w:rPr>
      </w:pPr>
      <w:r>
        <w:rPr>
          <w:rFonts w:ascii="仿宋_GB2312" w:eastAsia="仿宋_GB2312" w:hAnsi="仿宋_GB2312" w:cs="仿宋_GB2312" w:hint="eastAsia"/>
          <w:sz w:val="32"/>
          <w:szCs w:val="32"/>
        </w:rPr>
        <w:t>实行村组将生活垃圾集中在村级集中收运点运营公司使用全封闭环卫清运车辆进村收运，按距离采取直运和运至中转站再次转运至处理场的模式，使我县农村生活垃圾处理率达到100%。</w:t>
      </w:r>
    </w:p>
    <w:p w:rsidR="00D953EE" w:rsidRDefault="00F838FC">
      <w:pPr>
        <w:spacing w:line="560" w:lineRule="exact"/>
        <w:ind w:firstLineChars="200" w:firstLine="640"/>
        <w:rPr>
          <w:rFonts w:eastAsia="仿宋_GB2312"/>
          <w:sz w:val="32"/>
          <w:szCs w:val="32"/>
        </w:rPr>
      </w:pPr>
      <w:r>
        <w:rPr>
          <w:rFonts w:eastAsia="仿宋_GB2312"/>
          <w:sz w:val="32"/>
          <w:szCs w:val="32"/>
        </w:rPr>
        <w:t>乡镇垃圾收转运体系运转正常，农村生活垃圾收转运处理达</w:t>
      </w:r>
      <w:r>
        <w:rPr>
          <w:rFonts w:eastAsia="仿宋_GB2312"/>
          <w:sz w:val="32"/>
          <w:szCs w:val="32"/>
        </w:rPr>
        <w:t>100%</w:t>
      </w:r>
      <w:r>
        <w:rPr>
          <w:rFonts w:eastAsia="仿宋_GB2312"/>
          <w:sz w:val="32"/>
          <w:szCs w:val="32"/>
        </w:rPr>
        <w:t>。完成扶罗镇、贡溪镇、凉伞镇污水处理设施和配套管网建设任务。建筑扬尘污染防治（</w:t>
      </w:r>
      <w:r>
        <w:rPr>
          <w:rFonts w:eastAsia="仿宋_GB2312"/>
          <w:sz w:val="32"/>
          <w:szCs w:val="32"/>
        </w:rPr>
        <w:t>6</w:t>
      </w:r>
      <w:r>
        <w:rPr>
          <w:rFonts w:eastAsia="仿宋_GB2312"/>
          <w:sz w:val="32"/>
          <w:szCs w:val="32"/>
        </w:rPr>
        <w:t>个</w:t>
      </w:r>
      <w:r>
        <w:rPr>
          <w:rFonts w:eastAsia="仿宋_GB2312"/>
          <w:sz w:val="32"/>
          <w:szCs w:val="32"/>
        </w:rPr>
        <w:t>100%+2</w:t>
      </w:r>
      <w:r>
        <w:rPr>
          <w:rFonts w:eastAsia="仿宋_GB2312"/>
          <w:sz w:val="32"/>
          <w:szCs w:val="32"/>
        </w:rPr>
        <w:t>）常态化监管。</w:t>
      </w:r>
    </w:p>
    <w:p w:rsidR="00FE6F1D" w:rsidRDefault="00FE6F1D" w:rsidP="00FE6F1D">
      <w:pPr>
        <w:spacing w:line="600" w:lineRule="exact"/>
        <w:ind w:firstLineChars="200" w:firstLine="420"/>
        <w:rPr>
          <w:rFonts w:ascii="仿宋_GB2312" w:eastAsia="仿宋_GB2312"/>
          <w:color w:val="000000"/>
          <w:sz w:val="32"/>
          <w:szCs w:val="32"/>
        </w:rPr>
      </w:pPr>
      <w:r>
        <w:rPr>
          <w:rFonts w:hint="eastAsia"/>
        </w:rPr>
        <w:t xml:space="preserve">  </w:t>
      </w:r>
      <w:r>
        <w:rPr>
          <w:rFonts w:ascii="仿宋_GB2312" w:eastAsia="仿宋_GB2312" w:hint="eastAsia"/>
          <w:color w:val="000000"/>
          <w:sz w:val="32"/>
          <w:szCs w:val="32"/>
        </w:rPr>
        <w:t>（三）项目产出情况。</w:t>
      </w:r>
    </w:p>
    <w:p w:rsidR="00FE6F1D" w:rsidRDefault="00FE6F1D" w:rsidP="00FE6F1D">
      <w:pPr>
        <w:pStyle w:val="a3"/>
        <w:widowControl w:val="0"/>
        <w:spacing w:before="0" w:beforeAutospacing="0" w:after="0" w:afterAutospacing="0" w:line="500" w:lineRule="exact"/>
        <w:ind w:firstLine="480"/>
        <w:rPr>
          <w:rFonts w:ascii="Times New Roman" w:eastAsia="仿宋_GB2312" w:hAnsi="Times New Roman" w:cs="Times New Roman"/>
          <w:b/>
          <w:sz w:val="28"/>
          <w:szCs w:val="28"/>
        </w:rPr>
      </w:pPr>
      <w:r w:rsidRPr="00AB6C35">
        <w:rPr>
          <w:rFonts w:ascii="仿宋_GB2312" w:eastAsia="仿宋_GB2312" w:cs="仿宋_GB2312"/>
          <w:color w:val="000000"/>
          <w:sz w:val="31"/>
          <w:szCs w:val="31"/>
          <w:shd w:val="clear" w:color="auto" w:fill="FFFFFF"/>
        </w:rPr>
        <w:t>该项目年初预算</w:t>
      </w:r>
      <w:r w:rsidR="00811B88" w:rsidRPr="00FA525B">
        <w:rPr>
          <w:rFonts w:ascii="仿宋_GB2312" w:eastAsia="仿宋_GB2312" w:cs="仿宋_GB2312" w:hint="eastAsia"/>
          <w:color w:val="000000"/>
          <w:sz w:val="31"/>
          <w:szCs w:val="31"/>
          <w:shd w:val="clear" w:color="auto" w:fill="FFFFFF"/>
        </w:rPr>
        <w:t>721.7万</w:t>
      </w:r>
      <w:r w:rsidRPr="00AB6C35">
        <w:rPr>
          <w:rFonts w:ascii="仿宋_GB2312" w:eastAsia="仿宋_GB2312" w:cs="仿宋_GB2312" w:hint="eastAsia"/>
          <w:color w:val="000000"/>
          <w:sz w:val="31"/>
          <w:szCs w:val="31"/>
          <w:shd w:val="clear" w:color="auto" w:fill="FFFFFF"/>
        </w:rPr>
        <w:t>元，主要任务</w:t>
      </w:r>
      <w:r w:rsidR="00811B88">
        <w:rPr>
          <w:rFonts w:ascii="仿宋_GB2312" w:eastAsia="仿宋_GB2312" w:cs="仿宋_GB2312" w:hint="eastAsia"/>
          <w:color w:val="000000"/>
          <w:sz w:val="31"/>
          <w:szCs w:val="31"/>
          <w:shd w:val="clear" w:color="auto" w:fill="FFFFFF"/>
        </w:rPr>
        <w:t>是保障</w:t>
      </w:r>
      <w:r w:rsidR="00811B88">
        <w:rPr>
          <w:rFonts w:eastAsia="仿宋_GB2312"/>
          <w:sz w:val="32"/>
          <w:szCs w:val="32"/>
        </w:rPr>
        <w:t>乡镇垃圾收转运体系运转正常，农村生活垃圾收转运处理达</w:t>
      </w:r>
      <w:r w:rsidR="00811B88">
        <w:rPr>
          <w:rFonts w:eastAsia="仿宋_GB2312"/>
          <w:sz w:val="32"/>
          <w:szCs w:val="32"/>
        </w:rPr>
        <w:t>100%</w:t>
      </w:r>
      <w:r>
        <w:rPr>
          <w:rFonts w:ascii="仿宋_GB2312" w:eastAsia="仿宋_GB2312" w:cs="仿宋_GB2312"/>
          <w:color w:val="000000"/>
          <w:sz w:val="31"/>
          <w:szCs w:val="31"/>
          <w:shd w:val="clear" w:color="auto" w:fill="FFFFFF"/>
        </w:rPr>
        <w:t>。该项目工作圆满完成。</w:t>
      </w:r>
    </w:p>
    <w:p w:rsidR="00FE6F1D" w:rsidRPr="00FE6F1D" w:rsidRDefault="00FE6F1D" w:rsidP="00FE6F1D">
      <w:pPr>
        <w:pStyle w:val="1"/>
      </w:pPr>
    </w:p>
    <w:p w:rsidR="00D953EE" w:rsidRDefault="00F838FC">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（四）项目效益情况。</w:t>
      </w:r>
    </w:p>
    <w:p w:rsidR="00D953EE" w:rsidRDefault="00F838FC">
      <w:pPr>
        <w:pStyle w:val="a3"/>
        <w:widowControl w:val="0"/>
        <w:spacing w:before="0" w:beforeAutospacing="0" w:after="0" w:afterAutospacing="0" w:line="500" w:lineRule="exact"/>
        <w:ind w:firstLine="480"/>
        <w:rPr>
          <w:rFonts w:eastAsia="仿宋_GB2312"/>
          <w:sz w:val="32"/>
          <w:szCs w:val="32"/>
        </w:rPr>
      </w:pPr>
      <w:r>
        <w:rPr>
          <w:rFonts w:eastAsia="仿宋_GB2312" w:hint="eastAsia"/>
          <w:sz w:val="32"/>
          <w:szCs w:val="32"/>
        </w:rPr>
        <w:t>改善了农村人居环境，</w:t>
      </w:r>
      <w:r>
        <w:rPr>
          <w:rFonts w:ascii="仿宋_GB2312" w:eastAsia="仿宋_GB2312" w:hint="eastAsia"/>
          <w:bCs/>
          <w:color w:val="000000"/>
          <w:sz w:val="32"/>
          <w:szCs w:val="32"/>
        </w:rPr>
        <w:t>提高社会满意度。妥善解决农村生活垃圾处理问题，实现农村生活垃圾无害化处理、资源化利用</w:t>
      </w:r>
    </w:p>
    <w:p w:rsidR="00D953EE" w:rsidRDefault="00D953EE">
      <w:pPr>
        <w:pStyle w:val="a3"/>
        <w:widowControl w:val="0"/>
        <w:spacing w:before="0" w:beforeAutospacing="0" w:after="0" w:afterAutospacing="0" w:line="500" w:lineRule="exact"/>
        <w:ind w:firstLine="480"/>
        <w:rPr>
          <w:rFonts w:eastAsia="仿宋_GB2312"/>
          <w:b/>
          <w:bCs/>
          <w:sz w:val="32"/>
          <w:szCs w:val="32"/>
        </w:rPr>
      </w:pPr>
    </w:p>
    <w:p w:rsidR="00D953EE" w:rsidRDefault="00F838FC">
      <w:pPr>
        <w:spacing w:line="560" w:lineRule="exact"/>
        <w:ind w:firstLineChars="200" w:firstLine="643"/>
        <w:jc w:val="left"/>
        <w:rPr>
          <w:rFonts w:eastAsia="仿宋_GB2312"/>
          <w:b/>
          <w:bCs/>
          <w:sz w:val="32"/>
          <w:szCs w:val="32"/>
        </w:rPr>
      </w:pPr>
      <w:r>
        <w:rPr>
          <w:rFonts w:eastAsia="仿宋_GB2312" w:hint="eastAsia"/>
          <w:b/>
          <w:bCs/>
          <w:sz w:val="32"/>
          <w:szCs w:val="32"/>
        </w:rPr>
        <w:t>五、主要经验及做法、存在的问题及原因分析</w:t>
      </w:r>
    </w:p>
    <w:p w:rsidR="00D953EE" w:rsidRDefault="00F838FC">
      <w:pPr>
        <w:pStyle w:val="a3"/>
        <w:widowControl w:val="0"/>
        <w:spacing w:before="0" w:beforeAutospacing="0" w:after="0" w:afterAutospacing="0" w:line="500" w:lineRule="exact"/>
        <w:ind w:firstLine="480"/>
        <w:rPr>
          <w:rFonts w:ascii="仿宋" w:eastAsia="仿宋" w:hAnsi="仿宋" w:cs="仿宋"/>
          <w:bCs/>
          <w:sz w:val="32"/>
          <w:szCs w:val="32"/>
        </w:rPr>
      </w:pPr>
      <w:r>
        <w:rPr>
          <w:rFonts w:ascii="仿宋" w:eastAsia="仿宋" w:hAnsi="仿宋" w:cs="仿宋" w:hint="eastAsia"/>
          <w:bCs/>
          <w:sz w:val="32"/>
          <w:szCs w:val="32"/>
        </w:rPr>
        <w:t>1、建立“户分类、村监管、镇收集、县处理”的垃圾收转运体系</w:t>
      </w:r>
    </w:p>
    <w:p w:rsidR="00D953EE" w:rsidRDefault="00F838FC" w:rsidP="00E65E4C">
      <w:pPr>
        <w:pStyle w:val="a3"/>
        <w:widowControl w:val="0"/>
        <w:numPr>
          <w:ilvl w:val="0"/>
          <w:numId w:val="3"/>
        </w:numPr>
        <w:spacing w:before="0" w:beforeAutospacing="0" w:after="0" w:afterAutospacing="0" w:line="500" w:lineRule="exact"/>
        <w:ind w:firstLine="480"/>
        <w:rPr>
          <w:rFonts w:ascii="仿宋" w:eastAsia="仿宋" w:hAnsi="仿宋" w:cs="仿宋"/>
          <w:bCs/>
          <w:sz w:val="32"/>
          <w:szCs w:val="32"/>
        </w:rPr>
      </w:pPr>
      <w:r>
        <w:rPr>
          <w:rFonts w:ascii="仿宋" w:eastAsia="仿宋" w:hAnsi="仿宋" w:cs="仿宋" w:hint="eastAsia"/>
          <w:bCs/>
          <w:sz w:val="32"/>
          <w:szCs w:val="32"/>
        </w:rPr>
        <w:t>实现农村生活垃圾收集常态化、规范化</w:t>
      </w:r>
    </w:p>
    <w:p w:rsidR="00D953EE" w:rsidRPr="00E65E4C" w:rsidRDefault="00F838FC" w:rsidP="00E65E4C">
      <w:pPr>
        <w:pStyle w:val="a6"/>
        <w:numPr>
          <w:ilvl w:val="0"/>
          <w:numId w:val="7"/>
        </w:numPr>
        <w:ind w:firstLineChars="0"/>
        <w:rPr>
          <w:rFonts w:ascii="仿宋" w:eastAsia="仿宋" w:hAnsi="仿宋" w:cs="仿宋"/>
          <w:b/>
          <w:bCs/>
          <w:sz w:val="28"/>
          <w:szCs w:val="28"/>
        </w:rPr>
      </w:pPr>
      <w:r w:rsidRPr="00E65E4C">
        <w:rPr>
          <w:rFonts w:ascii="仿宋" w:eastAsia="仿宋" w:hAnsi="仿宋" w:cs="仿宋" w:hint="eastAsia"/>
          <w:b/>
          <w:bCs/>
          <w:sz w:val="28"/>
          <w:szCs w:val="28"/>
        </w:rPr>
        <w:t>有关建议</w:t>
      </w:r>
    </w:p>
    <w:p w:rsidR="00D953EE" w:rsidRPr="00E65E4C" w:rsidRDefault="00F838FC" w:rsidP="00E65E4C">
      <w:pPr>
        <w:pStyle w:val="a6"/>
        <w:numPr>
          <w:ilvl w:val="0"/>
          <w:numId w:val="8"/>
        </w:numPr>
        <w:spacing w:line="600" w:lineRule="exact"/>
        <w:ind w:firstLineChars="0"/>
        <w:rPr>
          <w:rFonts w:ascii="仿宋" w:eastAsia="仿宋" w:hAnsi="仿宋" w:cs="仿宋"/>
          <w:b/>
          <w:bCs/>
          <w:sz w:val="32"/>
          <w:szCs w:val="32"/>
        </w:rPr>
      </w:pPr>
      <w:r w:rsidRPr="00E65E4C">
        <w:rPr>
          <w:rFonts w:ascii="仿宋" w:eastAsia="仿宋" w:hAnsi="仿宋" w:cs="仿宋" w:hint="eastAsia"/>
          <w:bCs/>
          <w:sz w:val="32"/>
          <w:szCs w:val="32"/>
        </w:rPr>
        <w:t>集中开展生活垃圾清运行动，清除卫生死角</w:t>
      </w:r>
    </w:p>
    <w:p w:rsidR="00D953EE" w:rsidRPr="00E65E4C" w:rsidRDefault="00E65E4C" w:rsidP="00E65E4C">
      <w:pPr>
        <w:pStyle w:val="a6"/>
        <w:ind w:left="160" w:firstLineChars="150" w:firstLine="480"/>
        <w:rPr>
          <w:rFonts w:ascii="仿宋" w:eastAsia="仿宋" w:hAnsi="仿宋" w:cs="仿宋"/>
          <w:bCs/>
          <w:sz w:val="32"/>
          <w:szCs w:val="32"/>
        </w:rPr>
      </w:pPr>
      <w:r>
        <w:rPr>
          <w:rFonts w:ascii="仿宋" w:eastAsia="仿宋" w:hAnsi="仿宋" w:cs="仿宋" w:hint="eastAsia"/>
          <w:bCs/>
          <w:sz w:val="32"/>
          <w:szCs w:val="32"/>
        </w:rPr>
        <w:t>2、</w:t>
      </w:r>
      <w:r w:rsidR="00F838FC" w:rsidRPr="00E65E4C">
        <w:rPr>
          <w:rFonts w:ascii="仿宋" w:eastAsia="仿宋" w:hAnsi="仿宋" w:cs="仿宋" w:hint="eastAsia"/>
          <w:bCs/>
          <w:sz w:val="32"/>
          <w:szCs w:val="32"/>
        </w:rPr>
        <w:t>引导村民对生活垃圾和非生活垃圾进行分类</w:t>
      </w:r>
    </w:p>
    <w:p w:rsidR="00D953EE" w:rsidRDefault="00F838FC" w:rsidP="00E65E4C">
      <w:pPr>
        <w:pStyle w:val="1"/>
        <w:ind w:firstLineChars="200" w:firstLine="640"/>
        <w:rPr>
          <w:rFonts w:ascii="仿宋" w:eastAsia="仿宋" w:hAnsi="仿宋" w:cs="仿宋"/>
          <w:b w:val="0"/>
          <w:bCs/>
          <w:sz w:val="32"/>
          <w:szCs w:val="32"/>
        </w:rPr>
      </w:pPr>
      <w:r w:rsidRPr="00E65E4C">
        <w:rPr>
          <w:rFonts w:ascii="仿宋" w:eastAsia="仿宋" w:hAnsi="仿宋" w:cs="仿宋" w:hint="eastAsia"/>
          <w:b w:val="0"/>
          <w:bCs/>
          <w:sz w:val="32"/>
          <w:szCs w:val="32"/>
        </w:rPr>
        <w:t>3、县财政加大拨款力度</w:t>
      </w:r>
    </w:p>
    <w:p w:rsidR="00D953EE" w:rsidRDefault="00D953EE">
      <w:pPr>
        <w:pStyle w:val="a3"/>
        <w:widowControl w:val="0"/>
        <w:spacing w:before="0" w:beforeAutospacing="0" w:after="0" w:afterAutospacing="0" w:line="500" w:lineRule="exact"/>
        <w:ind w:firstLine="480"/>
        <w:rPr>
          <w:rFonts w:ascii="Times New Roman" w:eastAsia="仿宋_GB2312" w:hAnsi="Times New Roman" w:cs="Times New Roman"/>
          <w:b/>
          <w:sz w:val="28"/>
          <w:szCs w:val="28"/>
        </w:rPr>
      </w:pPr>
    </w:p>
    <w:p w:rsidR="00D953EE" w:rsidRDefault="00D953EE">
      <w:pPr>
        <w:pStyle w:val="a3"/>
        <w:widowControl w:val="0"/>
        <w:spacing w:before="0" w:beforeAutospacing="0" w:after="0" w:afterAutospacing="0" w:line="500" w:lineRule="exact"/>
        <w:ind w:firstLine="480"/>
        <w:rPr>
          <w:rFonts w:ascii="Times New Roman" w:eastAsia="仿宋_GB2312" w:hAnsi="Times New Roman" w:cs="Times New Roman"/>
          <w:b/>
          <w:sz w:val="28"/>
          <w:szCs w:val="28"/>
        </w:rPr>
      </w:pPr>
    </w:p>
    <w:p w:rsidR="00D953EE" w:rsidRDefault="00D953EE">
      <w:pPr>
        <w:spacing w:line="500" w:lineRule="exact"/>
        <w:rPr>
          <w:rFonts w:eastAsia="仿宋_GB2312"/>
          <w:kern w:val="0"/>
          <w:sz w:val="28"/>
          <w:szCs w:val="28"/>
        </w:rPr>
      </w:pPr>
    </w:p>
    <w:p w:rsidR="00D953EE" w:rsidRPr="00E65E4C" w:rsidRDefault="00F838FC" w:rsidP="00E65E4C">
      <w:pPr>
        <w:spacing w:line="500" w:lineRule="exact"/>
        <w:ind w:firstLineChars="1600" w:firstLine="4800"/>
        <w:rPr>
          <w:rFonts w:eastAsia="仿宋_GB2312"/>
          <w:kern w:val="0"/>
          <w:sz w:val="30"/>
          <w:szCs w:val="30"/>
        </w:rPr>
      </w:pPr>
      <w:r w:rsidRPr="00E65E4C">
        <w:rPr>
          <w:rFonts w:eastAsia="仿宋_GB2312" w:hint="eastAsia"/>
          <w:kern w:val="0"/>
          <w:sz w:val="30"/>
          <w:szCs w:val="30"/>
        </w:rPr>
        <w:t>新晃县住房和城乡建设局</w:t>
      </w:r>
      <w:r w:rsidRPr="00E65E4C">
        <w:rPr>
          <w:rFonts w:eastAsia="仿宋_GB2312"/>
          <w:kern w:val="0"/>
          <w:sz w:val="30"/>
          <w:szCs w:val="30"/>
        </w:rPr>
        <w:t xml:space="preserve">                  </w:t>
      </w:r>
    </w:p>
    <w:p w:rsidR="00D953EE" w:rsidRPr="00E65E4C" w:rsidRDefault="00F838FC" w:rsidP="00E65E4C">
      <w:pPr>
        <w:spacing w:line="500" w:lineRule="exact"/>
        <w:ind w:firstLineChars="1700" w:firstLine="5100"/>
        <w:rPr>
          <w:rFonts w:eastAsia="仿宋_GB2312"/>
          <w:kern w:val="0"/>
          <w:sz w:val="30"/>
          <w:szCs w:val="30"/>
        </w:rPr>
      </w:pPr>
      <w:r w:rsidRPr="00E65E4C">
        <w:rPr>
          <w:rFonts w:eastAsia="仿宋_GB2312"/>
          <w:kern w:val="0"/>
          <w:sz w:val="30"/>
          <w:szCs w:val="30"/>
        </w:rPr>
        <w:t xml:space="preserve"> </w:t>
      </w:r>
      <w:r w:rsidRPr="00E65E4C">
        <w:rPr>
          <w:rFonts w:eastAsia="仿宋_GB2312" w:hint="eastAsia"/>
          <w:kern w:val="0"/>
          <w:sz w:val="30"/>
          <w:szCs w:val="30"/>
        </w:rPr>
        <w:t xml:space="preserve"> 2023</w:t>
      </w:r>
      <w:r w:rsidRPr="00E65E4C">
        <w:rPr>
          <w:rFonts w:eastAsia="仿宋_GB2312"/>
          <w:kern w:val="0"/>
          <w:sz w:val="30"/>
          <w:szCs w:val="30"/>
        </w:rPr>
        <w:t xml:space="preserve"> </w:t>
      </w:r>
      <w:r w:rsidRPr="00E65E4C">
        <w:rPr>
          <w:rFonts w:eastAsia="仿宋_GB2312"/>
          <w:kern w:val="0"/>
          <w:sz w:val="30"/>
          <w:szCs w:val="30"/>
        </w:rPr>
        <w:t>年</w:t>
      </w:r>
      <w:r w:rsidRPr="00E65E4C">
        <w:rPr>
          <w:rFonts w:eastAsia="仿宋_GB2312" w:hint="eastAsia"/>
          <w:kern w:val="0"/>
          <w:sz w:val="30"/>
          <w:szCs w:val="30"/>
        </w:rPr>
        <w:t>5</w:t>
      </w:r>
      <w:r w:rsidRPr="00E65E4C">
        <w:rPr>
          <w:rFonts w:eastAsia="仿宋_GB2312"/>
          <w:kern w:val="0"/>
          <w:sz w:val="30"/>
          <w:szCs w:val="30"/>
        </w:rPr>
        <w:t>月</w:t>
      </w:r>
      <w:r w:rsidRPr="00E65E4C">
        <w:rPr>
          <w:rFonts w:eastAsia="仿宋_GB2312"/>
          <w:kern w:val="0"/>
          <w:sz w:val="30"/>
          <w:szCs w:val="30"/>
        </w:rPr>
        <w:t xml:space="preserve"> </w:t>
      </w:r>
      <w:r w:rsidRPr="00E65E4C">
        <w:rPr>
          <w:rFonts w:eastAsia="仿宋_GB2312" w:hint="eastAsia"/>
          <w:kern w:val="0"/>
          <w:sz w:val="30"/>
          <w:szCs w:val="30"/>
        </w:rPr>
        <w:t>10</w:t>
      </w:r>
      <w:r w:rsidRPr="00E65E4C">
        <w:rPr>
          <w:rFonts w:eastAsia="仿宋_GB2312"/>
          <w:kern w:val="0"/>
          <w:sz w:val="30"/>
          <w:szCs w:val="30"/>
        </w:rPr>
        <w:t>日</w:t>
      </w:r>
    </w:p>
    <w:p w:rsidR="00D953EE" w:rsidRDefault="00D953EE">
      <w:pPr>
        <w:pStyle w:val="a3"/>
        <w:widowControl w:val="0"/>
        <w:spacing w:before="0" w:beforeAutospacing="0" w:after="0" w:afterAutospacing="0" w:line="500" w:lineRule="exact"/>
        <w:rPr>
          <w:rFonts w:ascii="Times New Roman" w:eastAsia="仿宋_GB2312" w:hAnsi="Times New Roman" w:cs="Times New Roman"/>
          <w:sz w:val="28"/>
          <w:szCs w:val="28"/>
        </w:rPr>
      </w:pPr>
    </w:p>
    <w:p w:rsidR="00D953EE" w:rsidRDefault="00D953EE">
      <w:pPr>
        <w:spacing w:line="500" w:lineRule="exact"/>
      </w:pPr>
    </w:p>
    <w:sectPr w:rsidR="00D953EE" w:rsidSect="00D953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97E" w:rsidRDefault="00D2197E" w:rsidP="00FE6F1D">
      <w:r>
        <w:separator/>
      </w:r>
    </w:p>
  </w:endnote>
  <w:endnote w:type="continuationSeparator" w:id="0">
    <w:p w:rsidR="00D2197E" w:rsidRDefault="00D2197E" w:rsidP="00FE6F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97E" w:rsidRDefault="00D2197E" w:rsidP="00FE6F1D">
      <w:r>
        <w:separator/>
      </w:r>
    </w:p>
  </w:footnote>
  <w:footnote w:type="continuationSeparator" w:id="0">
    <w:p w:rsidR="00D2197E" w:rsidRDefault="00D2197E" w:rsidP="00FE6F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C6F714"/>
    <w:multiLevelType w:val="singleLevel"/>
    <w:tmpl w:val="A1C6F714"/>
    <w:lvl w:ilvl="0">
      <w:start w:val="6"/>
      <w:numFmt w:val="chineseCounting"/>
      <w:suff w:val="nothing"/>
      <w:lvlText w:val="%1、"/>
      <w:lvlJc w:val="left"/>
      <w:rPr>
        <w:rFonts w:hint="eastAsia"/>
      </w:rPr>
    </w:lvl>
  </w:abstractNum>
  <w:abstractNum w:abstractNumId="1">
    <w:nsid w:val="BBB34851"/>
    <w:multiLevelType w:val="singleLevel"/>
    <w:tmpl w:val="BBB34851"/>
    <w:lvl w:ilvl="0">
      <w:start w:val="2"/>
      <w:numFmt w:val="chineseCounting"/>
      <w:suff w:val="nothing"/>
      <w:lvlText w:val="（%1）"/>
      <w:lvlJc w:val="left"/>
      <w:rPr>
        <w:rFonts w:hint="eastAsia"/>
      </w:rPr>
    </w:lvl>
  </w:abstractNum>
  <w:abstractNum w:abstractNumId="2">
    <w:nsid w:val="DBCCFFAC"/>
    <w:multiLevelType w:val="singleLevel"/>
    <w:tmpl w:val="DBCCFFAC"/>
    <w:lvl w:ilvl="0">
      <w:start w:val="1"/>
      <w:numFmt w:val="chineseCounting"/>
      <w:suff w:val="nothing"/>
      <w:lvlText w:val="%1、"/>
      <w:lvlJc w:val="left"/>
      <w:rPr>
        <w:rFonts w:hint="eastAsia"/>
      </w:rPr>
    </w:lvl>
  </w:abstractNum>
  <w:abstractNum w:abstractNumId="3">
    <w:nsid w:val="0D954840"/>
    <w:multiLevelType w:val="hybridMultilevel"/>
    <w:tmpl w:val="E94A3B40"/>
    <w:lvl w:ilvl="0" w:tplc="3C40EEBA">
      <w:start w:val="5"/>
      <w:numFmt w:val="japaneseCounting"/>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4">
    <w:nsid w:val="31734394"/>
    <w:multiLevelType w:val="singleLevel"/>
    <w:tmpl w:val="31734394"/>
    <w:lvl w:ilvl="0">
      <w:start w:val="1"/>
      <w:numFmt w:val="decimal"/>
      <w:suff w:val="nothing"/>
      <w:lvlText w:val="%1、"/>
      <w:lvlJc w:val="left"/>
      <w:rPr>
        <w:rFonts w:hint="default"/>
        <w:b w:val="0"/>
        <w:bCs w:val="0"/>
      </w:rPr>
    </w:lvl>
  </w:abstractNum>
  <w:abstractNum w:abstractNumId="5">
    <w:nsid w:val="4230745D"/>
    <w:multiLevelType w:val="hybridMultilevel"/>
    <w:tmpl w:val="8EBA2108"/>
    <w:lvl w:ilvl="0" w:tplc="7584D0D8">
      <w:start w:val="6"/>
      <w:numFmt w:val="japaneseCounting"/>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6">
    <w:nsid w:val="481D4812"/>
    <w:multiLevelType w:val="hybridMultilevel"/>
    <w:tmpl w:val="479454C6"/>
    <w:lvl w:ilvl="0" w:tplc="429E190C">
      <w:start w:val="1"/>
      <w:numFmt w:val="decimal"/>
      <w:lvlText w:val="%1、"/>
      <w:lvlJc w:val="left"/>
      <w:pPr>
        <w:ind w:left="1360" w:hanging="720"/>
      </w:pPr>
      <w:rPr>
        <w:rFonts w:hint="default"/>
        <w:b w:val="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nsid w:val="5A13E253"/>
    <w:multiLevelType w:val="singleLevel"/>
    <w:tmpl w:val="5A13E253"/>
    <w:lvl w:ilvl="0">
      <w:start w:val="1"/>
      <w:numFmt w:val="decimal"/>
      <w:suff w:val="nothing"/>
      <w:lvlText w:val="%1、"/>
      <w:lvlJc w:val="left"/>
    </w:lvl>
  </w:abstractNum>
  <w:num w:numId="1">
    <w:abstractNumId w:val="2"/>
  </w:num>
  <w:num w:numId="2">
    <w:abstractNumId w:val="1"/>
  </w:num>
  <w:num w:numId="3">
    <w:abstractNumId w:val="4"/>
  </w:num>
  <w:num w:numId="4">
    <w:abstractNumId w:val="0"/>
  </w:num>
  <w:num w:numId="5">
    <w:abstractNumId w:val="7"/>
  </w:num>
  <w:num w:numId="6">
    <w:abstractNumId w:val="3"/>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jdkNjgxMzM5NGM1NmRiODZkZTc4MDMxMGNiMTUxYzcifQ=="/>
  </w:docVars>
  <w:rsids>
    <w:rsidRoot w:val="000224F6"/>
    <w:rsid w:val="000224F6"/>
    <w:rsid w:val="003D0B46"/>
    <w:rsid w:val="00506A2D"/>
    <w:rsid w:val="00811B88"/>
    <w:rsid w:val="00B44104"/>
    <w:rsid w:val="00C17D9C"/>
    <w:rsid w:val="00D2197E"/>
    <w:rsid w:val="00D953EE"/>
    <w:rsid w:val="00E65E4C"/>
    <w:rsid w:val="00EE52AE"/>
    <w:rsid w:val="00F42F91"/>
    <w:rsid w:val="00F838FC"/>
    <w:rsid w:val="00FA525B"/>
    <w:rsid w:val="00FE6F1D"/>
    <w:rsid w:val="05F30C0F"/>
    <w:rsid w:val="0B126AE6"/>
    <w:rsid w:val="0ECF19BD"/>
    <w:rsid w:val="2B0B6B2E"/>
    <w:rsid w:val="2B3D5F00"/>
    <w:rsid w:val="2FE93845"/>
    <w:rsid w:val="3A954BE5"/>
    <w:rsid w:val="519C054F"/>
    <w:rsid w:val="7F82620E"/>
    <w:rsid w:val="7F890926"/>
    <w:rsid w:val="7FD532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D953EE"/>
    <w:pPr>
      <w:widowControl w:val="0"/>
      <w:jc w:val="both"/>
    </w:pPr>
    <w:rPr>
      <w:kern w:val="2"/>
      <w:sz w:val="21"/>
      <w:szCs w:val="24"/>
    </w:rPr>
  </w:style>
  <w:style w:type="paragraph" w:styleId="1">
    <w:name w:val="heading 1"/>
    <w:basedOn w:val="a"/>
    <w:next w:val="a"/>
    <w:qFormat/>
    <w:rsid w:val="00D953EE"/>
    <w:pPr>
      <w:spacing w:before="100" w:beforeAutospacing="1" w:after="100" w:afterAutospacing="1"/>
      <w:jc w:val="left"/>
      <w:outlineLvl w:val="0"/>
    </w:pPr>
    <w:rPr>
      <w:rFonts w:ascii="宋体" w:hAnsi="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D953EE"/>
    <w:pPr>
      <w:widowControl/>
      <w:spacing w:before="100" w:beforeAutospacing="1" w:after="100" w:afterAutospacing="1"/>
      <w:jc w:val="left"/>
    </w:pPr>
    <w:rPr>
      <w:rFonts w:ascii="宋体" w:hAnsi="宋体" w:cs="宋体"/>
      <w:kern w:val="0"/>
      <w:sz w:val="24"/>
    </w:rPr>
  </w:style>
  <w:style w:type="paragraph" w:customStyle="1" w:styleId="Style4">
    <w:name w:val="_Style 4"/>
    <w:basedOn w:val="1"/>
    <w:next w:val="a"/>
    <w:uiPriority w:val="39"/>
    <w:qFormat/>
    <w:rsid w:val="00D953EE"/>
    <w:pPr>
      <w:spacing w:before="480" w:after="0" w:line="276" w:lineRule="auto"/>
      <w:jc w:val="center"/>
      <w:outlineLvl w:val="9"/>
    </w:pPr>
    <w:rPr>
      <w:rFonts w:ascii="仿宋" w:eastAsia="仿宋" w:hAnsi="仿宋"/>
      <w:b w:val="0"/>
      <w:color w:val="000000"/>
      <w:kern w:val="0"/>
      <w:sz w:val="32"/>
      <w:szCs w:val="32"/>
    </w:rPr>
  </w:style>
  <w:style w:type="paragraph" w:customStyle="1" w:styleId="10">
    <w:name w:val="无间隔1"/>
    <w:qFormat/>
    <w:rsid w:val="00D953EE"/>
    <w:pPr>
      <w:widowControl w:val="0"/>
      <w:jc w:val="both"/>
    </w:pPr>
    <w:rPr>
      <w:kern w:val="2"/>
      <w:sz w:val="21"/>
      <w:szCs w:val="24"/>
    </w:rPr>
  </w:style>
  <w:style w:type="character" w:customStyle="1" w:styleId="NormalCharacter">
    <w:name w:val="NormalCharacter"/>
    <w:semiHidden/>
    <w:qFormat/>
    <w:rsid w:val="00D953EE"/>
    <w:rPr>
      <w:rFonts w:ascii="Times New Roman" w:eastAsia="宋体" w:hAnsi="Times New Roman" w:cs="Times New Roman"/>
      <w:kern w:val="2"/>
      <w:sz w:val="21"/>
      <w:szCs w:val="24"/>
      <w:lang w:val="en-US" w:eastAsia="zh-CN" w:bidi="ar-SA"/>
    </w:rPr>
  </w:style>
  <w:style w:type="paragraph" w:styleId="a4">
    <w:name w:val="header"/>
    <w:basedOn w:val="a"/>
    <w:link w:val="Char"/>
    <w:rsid w:val="00FE6F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E6F1D"/>
    <w:rPr>
      <w:kern w:val="2"/>
      <w:sz w:val="18"/>
      <w:szCs w:val="18"/>
    </w:rPr>
  </w:style>
  <w:style w:type="paragraph" w:styleId="a5">
    <w:name w:val="footer"/>
    <w:basedOn w:val="a"/>
    <w:link w:val="Char0"/>
    <w:rsid w:val="00FE6F1D"/>
    <w:pPr>
      <w:tabs>
        <w:tab w:val="center" w:pos="4153"/>
        <w:tab w:val="right" w:pos="8306"/>
      </w:tabs>
      <w:snapToGrid w:val="0"/>
      <w:jc w:val="left"/>
    </w:pPr>
    <w:rPr>
      <w:sz w:val="18"/>
      <w:szCs w:val="18"/>
    </w:rPr>
  </w:style>
  <w:style w:type="character" w:customStyle="1" w:styleId="Char0">
    <w:name w:val="页脚 Char"/>
    <w:basedOn w:val="a0"/>
    <w:link w:val="a5"/>
    <w:rsid w:val="00FE6F1D"/>
    <w:rPr>
      <w:kern w:val="2"/>
      <w:sz w:val="18"/>
      <w:szCs w:val="18"/>
    </w:rPr>
  </w:style>
  <w:style w:type="paragraph" w:styleId="a6">
    <w:name w:val="List Paragraph"/>
    <w:basedOn w:val="a"/>
    <w:uiPriority w:val="99"/>
    <w:unhideWhenUsed/>
    <w:rsid w:val="00E65E4C"/>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325</Words>
  <Characters>1859</Characters>
  <Application>Microsoft Office Word</Application>
  <DocSecurity>0</DocSecurity>
  <Lines>15</Lines>
  <Paragraphs>4</Paragraphs>
  <ScaleCrop>false</ScaleCrop>
  <Company/>
  <LinksUpToDate>false</LinksUpToDate>
  <CharactersWithSpaces>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洪玲</dc:creator>
  <cp:lastModifiedBy>Administrator</cp:lastModifiedBy>
  <cp:revision>7</cp:revision>
  <cp:lastPrinted>2023-06-05T02:55:00Z</cp:lastPrinted>
  <dcterms:created xsi:type="dcterms:W3CDTF">2021-09-09T00:27:00Z</dcterms:created>
  <dcterms:modified xsi:type="dcterms:W3CDTF">2023-06-05T02:55:00Z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A7243FCD97CB438FA7814FC4F2422316_12</vt:lpwstr>
  </property>
</Properties>
</file>